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37" w:rsidRPr="003E1C37" w:rsidRDefault="003E1C37" w:rsidP="003E1C3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>ЛАБОРАТОРНАЯ РАБОТА №7</w:t>
      </w:r>
      <w:bookmarkStart w:id="0" w:name="_GoBack"/>
      <w:bookmarkEnd w:id="0"/>
      <w:r w:rsidRPr="00A01AE1">
        <w:rPr>
          <w:rFonts w:ascii="Times New Roman" w:eastAsia="Times New Roman" w:hAnsi="Times New Roman" w:cs="Times New Roman"/>
          <w:b/>
          <w:bCs/>
          <w:caps/>
          <w:kern w:val="32"/>
          <w:szCs w:val="20"/>
          <w:lang w:eastAsia="ru-RU"/>
        </w:rPr>
        <w:t xml:space="preserve">. </w:t>
      </w:r>
      <w:r w:rsidRPr="003E1C37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t xml:space="preserve">Нахождение переходных характеристик при нулевых начальных условиях </w:t>
      </w:r>
    </w:p>
    <w:p w:rsidR="003E1C37" w:rsidRPr="003E1C37" w:rsidRDefault="003E1C37" w:rsidP="003E1C37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</w:pPr>
      <w:r w:rsidRPr="003E1C37">
        <w:rPr>
          <w:rFonts w:ascii="Times New Roman" w:eastAsia="Times New Roman" w:hAnsi="Times New Roman" w:cs="Arial"/>
          <w:b/>
          <w:bCs/>
          <w:sz w:val="32"/>
          <w:szCs w:val="32"/>
          <w:lang w:eastAsia="ru-RU"/>
        </w:rPr>
        <w:t>Определение прямых показателей качества переходного процесса:</w:t>
      </w:r>
    </w:p>
    <w:p w:rsidR="003E1C37" w:rsidRPr="003E1C37" w:rsidRDefault="003E1C37" w:rsidP="003E1C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1C37" w:rsidRPr="003E1C37" w:rsidRDefault="003E1C37" w:rsidP="003E1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Переходной характеристикой (ПХ) h(t) является реакция объекта на </w:t>
      </w:r>
      <w:proofErr w:type="gramStart"/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единичное</w:t>
      </w:r>
      <w:proofErr w:type="gramEnd"/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ступенчатое воздействии.</w:t>
      </w:r>
    </w:p>
    <w:p w:rsidR="003E1C37" w:rsidRPr="003E1C37" w:rsidRDefault="003E1C37" w:rsidP="003E1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Построить переходную характеристику в </w:t>
      </w:r>
      <w:proofErr w:type="spellStart"/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MatLab</w:t>
      </w:r>
      <w:proofErr w:type="spellEnd"/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можно при помощи команды </w:t>
      </w:r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step</w:t>
      </w: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(), в качестве параметра будет выступать передаточная функция замкнутой САР по заданию. </w:t>
      </w: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Переходной процесс выглядит как на рисунке:</w:t>
      </w:r>
    </w:p>
    <w:p w:rsidR="003E1C37" w:rsidRPr="003E1C37" w:rsidRDefault="003E1C37" w:rsidP="003E1C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1C37" w:rsidRPr="003E1C37" w:rsidRDefault="003E1C37" w:rsidP="003E1C37">
      <w:pPr>
        <w:spacing w:after="0" w:line="48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334000" cy="4032250"/>
            <wp:effectExtent l="0" t="0" r="0" b="6350"/>
            <wp:docPr id="3" name="Рисунок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Рис.4 Переходная характеристика САР при нулевых начальных условиях</w:t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1C37" w:rsidRPr="003E1C37" w:rsidRDefault="003E1C37" w:rsidP="003E1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Определим показатели качества:</w:t>
      </w:r>
    </w:p>
    <w:p w:rsidR="003E1C37" w:rsidRPr="003E1C37" w:rsidRDefault="003E1C37" w:rsidP="003E1C3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3E1C37" w:rsidRPr="003E1C37" w:rsidRDefault="003E1C37" w:rsidP="003E1C3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Характер процесса: колебательный</w:t>
      </w:r>
    </w:p>
    <w:p w:rsidR="003E1C37" w:rsidRPr="003E1C37" w:rsidRDefault="003E1C37" w:rsidP="003E1C3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Время регулирования: </w:t>
      </w:r>
      <w:r w:rsidRPr="003E1C37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19pt" o:ole="">
            <v:imagedata r:id="rId7" o:title=""/>
          </v:shape>
          <o:OLEObject Type="Embed" ProgID="Equation.3" ShapeID="_x0000_i1025" DrawAspect="Content" ObjectID="_1702218286" r:id="rId8"/>
        </w:object>
      </w:r>
    </w:p>
    <w:p w:rsidR="003E1C37" w:rsidRPr="003E1C37" w:rsidRDefault="003E1C37" w:rsidP="003E1C3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Длительность фронта: </w:t>
      </w:r>
      <w:r w:rsidRPr="003E1C37">
        <w:rPr>
          <w:rFonts w:ascii="Times New Roman" w:eastAsia="Times New Roman" w:hAnsi="Times New Roman" w:cs="Times New Roman"/>
          <w:position w:val="-14"/>
          <w:sz w:val="26"/>
          <w:szCs w:val="20"/>
          <w:lang w:eastAsia="ru-RU"/>
        </w:rPr>
        <w:object w:dxaOrig="1219" w:dyaOrig="380">
          <v:shape id="_x0000_i1026" type="#_x0000_t75" style="width:61pt;height:19pt" o:ole="">
            <v:imagedata r:id="rId9" o:title=""/>
          </v:shape>
          <o:OLEObject Type="Embed" ProgID="Equation.3" ShapeID="_x0000_i1026" DrawAspect="Content" ObjectID="_1702218287" r:id="rId10"/>
        </w:object>
      </w:r>
    </w:p>
    <w:p w:rsidR="003E1C37" w:rsidRPr="003E1C37" w:rsidRDefault="003E1C37" w:rsidP="003E1C3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Установившееся значение: </w:t>
      </w:r>
      <w:r w:rsidRPr="003E1C37">
        <w:rPr>
          <w:rFonts w:ascii="Times New Roman" w:eastAsia="Times New Roman" w:hAnsi="Times New Roman" w:cs="Times New Roman"/>
          <w:position w:val="-10"/>
          <w:sz w:val="26"/>
          <w:szCs w:val="20"/>
          <w:lang w:eastAsia="ru-RU"/>
        </w:rPr>
        <w:object w:dxaOrig="980" w:dyaOrig="340">
          <v:shape id="_x0000_i1027" type="#_x0000_t75" style="width:49pt;height:17pt" o:ole="">
            <v:imagedata r:id="rId11" o:title=""/>
          </v:shape>
          <o:OLEObject Type="Embed" ProgID="Equation.3" ShapeID="_x0000_i1027" DrawAspect="Content" ObjectID="_1702218288" r:id="rId12"/>
        </w:object>
      </w:r>
    </w:p>
    <w:p w:rsidR="003E1C37" w:rsidRPr="003E1C37" w:rsidRDefault="003E1C37" w:rsidP="003E1C3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Перерегулирование </w:t>
      </w:r>
      <w:r w:rsidRPr="003E1C37">
        <w:rPr>
          <w:rFonts w:ascii="Times New Roman" w:eastAsia="Times New Roman" w:hAnsi="Times New Roman" w:cs="Times New Roman"/>
          <w:position w:val="-30"/>
          <w:sz w:val="26"/>
          <w:szCs w:val="20"/>
          <w:lang w:eastAsia="ru-RU"/>
        </w:rPr>
        <w:object w:dxaOrig="4900" w:dyaOrig="700">
          <v:shape id="_x0000_i1028" type="#_x0000_t75" style="width:245pt;height:35pt" o:ole="">
            <v:imagedata r:id="rId13" o:title=""/>
          </v:shape>
          <o:OLEObject Type="Embed" ProgID="Equation.3" ShapeID="_x0000_i1028" DrawAspect="Content" ObjectID="_1702218289" r:id="rId14"/>
        </w:object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Построим переходную характеристику, реализовав модель САР (рис.5) в </w:t>
      </w:r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Simulink</w:t>
      </w: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905500" cy="1257300"/>
            <wp:effectExtent l="0" t="0" r="0" b="0"/>
            <wp:docPr id="2" name="Рисунок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Рис.5 Модель реализации САР в </w:t>
      </w:r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Simulink</w:t>
      </w:r>
    </w:p>
    <w:p w:rsidR="003E1C37" w:rsidRPr="003E1C37" w:rsidRDefault="003E1C37" w:rsidP="003E1C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>Переходная характеристика выглядит следующим образом:</w:t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0"/>
          <w:lang w:eastAsia="ru-RU"/>
        </w:rPr>
        <w:drawing>
          <wp:inline distT="0" distB="0" distL="0" distR="0">
            <wp:extent cx="5029200" cy="3460750"/>
            <wp:effectExtent l="0" t="0" r="0" b="6350"/>
            <wp:docPr id="1" name="Рисунок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Рис.6 Переходная характеристика модели САР реализованной в </w:t>
      </w:r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Simulink</w:t>
      </w:r>
    </w:p>
    <w:p w:rsidR="003E1C37" w:rsidRPr="003E1C37" w:rsidRDefault="003E1C37" w:rsidP="003E1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3E1C37" w:rsidRPr="003E1C37" w:rsidRDefault="003E1C37" w:rsidP="003E1C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Сравнив две переходные характеристики, построенные в </w:t>
      </w:r>
      <w:proofErr w:type="spellStart"/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MatLab</w:t>
      </w:r>
      <w:proofErr w:type="spellEnd"/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(рис.4) и </w:t>
      </w:r>
      <w:r w:rsidRPr="003E1C37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Simulink</w:t>
      </w:r>
      <w:r w:rsidRPr="003E1C3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(рис.6) мы увидим, что показатели качества этих графиков одинаковы, а это указывает на правильность наших расчетов.</w:t>
      </w: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1FC5"/>
    <w:multiLevelType w:val="hybridMultilevel"/>
    <w:tmpl w:val="7AE2CC82"/>
    <w:lvl w:ilvl="0" w:tplc="D7600DAE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37"/>
    <w:rsid w:val="003E1C37"/>
    <w:rsid w:val="0065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2021-12-28T11:35:00Z</dcterms:created>
  <dcterms:modified xsi:type="dcterms:W3CDTF">2021-12-28T11:36:00Z</dcterms:modified>
</cp:coreProperties>
</file>